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 w:asciiTheme="minorEastAsia" w:hAnsiTheme="minorEastAsia"/>
          <w:sz w:val="28"/>
          <w:szCs w:val="28"/>
          <w:u w:val="single"/>
        </w:rPr>
        <w:t>盈浦故事项目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2018-022-001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 w:asciiTheme="minorEastAsia" w:hAnsiTheme="minorEastAsia"/>
          <w:sz w:val="28"/>
          <w:szCs w:val="28"/>
        </w:rPr>
        <w:t>盈浦故事项目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1.1项目编号：2018-022-001</w:t>
      </w:r>
    </w:p>
    <w:p>
      <w:pPr>
        <w:ind w:firstLine="420" w:firstLineChars="15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 w:asciiTheme="minorEastAsia" w:hAnsiTheme="minorEastAsia"/>
          <w:sz w:val="28"/>
          <w:szCs w:val="28"/>
        </w:rPr>
        <w:t>盈浦故事项目</w:t>
      </w:r>
    </w:p>
    <w:p>
      <w:pPr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盈浦街道辖区内居民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盈浦故事项目征集书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2018-022-001</w:t>
      </w:r>
      <w:r>
        <w:rPr>
          <w:rFonts w:hint="eastAsia" w:asciiTheme="minorEastAsia" w:hAnsiTheme="minorEastAsia"/>
          <w:sz w:val="28"/>
          <w:szCs w:val="28"/>
        </w:rPr>
        <w:t>盈浦故事项目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 w:asciiTheme="minorEastAsia" w:hAnsiTheme="minorEastAsia"/>
          <w:sz w:val="28"/>
          <w:szCs w:val="28"/>
        </w:rPr>
        <w:t>盈浦故事项目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ind w:firstLine="560" w:firstLineChars="200"/>
        <w:jc w:val="left"/>
        <w:rPr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盈浦故事项目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为建设美丽盈浦，宣扬正能量，倡导社会主义核心价值观，满足辖区内居民精神文明需求，丰富居民业余生活。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盈浦街道辖区内居民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通过开展多种多样的活动形式，丰富居民业余生活的同时，也记录盈浦街道辖区内的点点滴滴，并且能够流传下去，成为盈浦街道居民的一笔精神财富。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82EBB"/>
    <w:rsid w:val="000D6072"/>
    <w:rsid w:val="000D7779"/>
    <w:rsid w:val="000E666D"/>
    <w:rsid w:val="00187953"/>
    <w:rsid w:val="00196971"/>
    <w:rsid w:val="001A413C"/>
    <w:rsid w:val="00257F2A"/>
    <w:rsid w:val="002650EE"/>
    <w:rsid w:val="002857E4"/>
    <w:rsid w:val="002F5D5B"/>
    <w:rsid w:val="003A7028"/>
    <w:rsid w:val="00425E89"/>
    <w:rsid w:val="00426798"/>
    <w:rsid w:val="0046400B"/>
    <w:rsid w:val="00524666"/>
    <w:rsid w:val="00586AE4"/>
    <w:rsid w:val="005A4E0A"/>
    <w:rsid w:val="00660638"/>
    <w:rsid w:val="00671AAD"/>
    <w:rsid w:val="006C66D7"/>
    <w:rsid w:val="00700F2F"/>
    <w:rsid w:val="0071765D"/>
    <w:rsid w:val="00734453"/>
    <w:rsid w:val="007E45F0"/>
    <w:rsid w:val="008318E5"/>
    <w:rsid w:val="00905D16"/>
    <w:rsid w:val="009249A7"/>
    <w:rsid w:val="00964A87"/>
    <w:rsid w:val="009A1A1C"/>
    <w:rsid w:val="00A421F4"/>
    <w:rsid w:val="00AC5F25"/>
    <w:rsid w:val="00AD7547"/>
    <w:rsid w:val="00B353BE"/>
    <w:rsid w:val="00B9138D"/>
    <w:rsid w:val="00C32519"/>
    <w:rsid w:val="00C36332"/>
    <w:rsid w:val="00C611CB"/>
    <w:rsid w:val="00CA7B0C"/>
    <w:rsid w:val="00CB4C67"/>
    <w:rsid w:val="00DF0654"/>
    <w:rsid w:val="00E202E4"/>
    <w:rsid w:val="00E338A2"/>
    <w:rsid w:val="00EE3E0A"/>
    <w:rsid w:val="00F506F3"/>
    <w:rsid w:val="00F531AA"/>
    <w:rsid w:val="00F82694"/>
    <w:rsid w:val="00FE1C64"/>
    <w:rsid w:val="00FF1E6E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1F7EB2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82279A-41E7-4186-9225-CC09CC547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6</Pages>
  <Words>202</Words>
  <Characters>1154</Characters>
  <Lines>9</Lines>
  <Paragraphs>2</Paragraphs>
  <TotalTime>0</TotalTime>
  <ScaleCrop>false</ScaleCrop>
  <LinksUpToDate>false</LinksUpToDate>
  <CharactersWithSpaces>1354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2017-11-28T07:45:00Z</dcterms:created>
  <dc:creator>Administrator</dc:creator>
  <cp:lastModifiedBy>兔子</cp:lastModifiedBy>
  <cp:lastPrinted>2015-12-23T06:00:00Z</cp:lastPrinted>
  <dcterms:modified xsi:type="dcterms:W3CDTF">2017-12-04T06:23:55Z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